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C0FE0">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15</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b/>
          <w:bCs/>
        </w:rPr>
        <w:t>R4-2</w:t>
      </w:r>
      <w:bookmarkEnd w:id="0"/>
      <w:r>
        <w:rPr>
          <w:rFonts w:hint="eastAsia" w:ascii="Arial" w:hAnsi="Arial" w:cs="Arial"/>
          <w:b/>
          <w:bCs/>
          <w:lang w:val="en-US" w:eastAsia="zh-CN"/>
        </w:rPr>
        <w:t>506413</w:t>
      </w:r>
    </w:p>
    <w:p w14:paraId="6DEA4F97">
      <w:pPr>
        <w:tabs>
          <w:tab w:val="left" w:pos="3106"/>
          <w:tab w:val="center" w:pos="4536"/>
          <w:tab w:val="right" w:pos="9072"/>
        </w:tabs>
        <w:jc w:val="both"/>
        <w:rPr>
          <w:rFonts w:ascii="Arial" w:hAnsi="Arial" w:cs="Arial"/>
          <w:b/>
          <w:bCs/>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71B75A0F">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bookmarkStart w:id="1" w:name="_Hlk492190689"/>
      <w:bookmarkStart w:id="2" w:name="_Hlk134973178"/>
    </w:p>
    <w:bookmarkEnd w:id="1"/>
    <w:p w14:paraId="3ADDE940">
      <w:pPr>
        <w:spacing w:after="60"/>
        <w:ind w:left="1985" w:hanging="1985"/>
        <w:rPr>
          <w:rFonts w:ascii="Arial" w:hAnsi="Arial" w:eastAsia="等线" w:cs="Arial"/>
          <w:sz w:val="20"/>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LS on</w:t>
      </w:r>
      <w:r>
        <w:rPr>
          <w:rFonts w:hint="eastAsia" w:ascii="Arial" w:hAnsi="Arial" w:eastAsia="等线" w:cs="Arial"/>
          <w:sz w:val="20"/>
        </w:rPr>
        <w:t xml:space="preserve"> UE signaling design for NR ATG enh</w:t>
      </w:r>
    </w:p>
    <w:p w14:paraId="08CE50B6">
      <w:pPr>
        <w:spacing w:after="60"/>
        <w:ind w:left="1985" w:hanging="1985"/>
        <w:rPr>
          <w:rFonts w:hint="eastAsia" w:ascii="Arial" w:hAnsi="Arial" w:eastAsia="等线" w:cs="Arial"/>
          <w:bCs/>
          <w:sz w:val="20"/>
          <w:lang w:eastAsia="zh-CN"/>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hint="eastAsia" w:ascii="Arial" w:hAnsi="Arial" w:eastAsia="等线" w:cs="Arial"/>
          <w:bCs/>
          <w:sz w:val="20"/>
          <w:lang w:val="en-US" w:eastAsia="zh-CN"/>
        </w:rPr>
        <w:t>9</w:t>
      </w:r>
    </w:p>
    <w:p w14:paraId="0BB81855">
      <w:pPr>
        <w:spacing w:after="60"/>
        <w:ind w:left="1985" w:hanging="1985"/>
        <w:rPr>
          <w:rFonts w:hint="default" w:ascii="Arial" w:hAnsi="Arial" w:eastAsia="等线" w:cs="Arial"/>
          <w:bCs/>
          <w:sz w:val="20"/>
          <w:lang w:val="en-US" w:eastAsia="zh-CN"/>
        </w:rPr>
      </w:pPr>
      <w:r>
        <w:rPr>
          <w:rFonts w:ascii="Arial" w:hAnsi="Arial" w:eastAsia="等线" w:cs="Arial"/>
          <w:b/>
          <w:sz w:val="20"/>
        </w:rPr>
        <w:t>Study Item:</w:t>
      </w:r>
      <w:r>
        <w:rPr>
          <w:rFonts w:ascii="Arial" w:hAnsi="Arial" w:eastAsia="等线" w:cs="Arial"/>
          <w:bCs/>
          <w:sz w:val="20"/>
        </w:rPr>
        <w:tab/>
      </w:r>
      <w:r>
        <w:rPr>
          <w:rFonts w:ascii="Arial" w:hAnsi="Arial" w:eastAsia="等线" w:cs="Arial"/>
          <w:bCs/>
          <w:sz w:val="20"/>
        </w:rPr>
        <w:t>NR_ATG</w:t>
      </w:r>
      <w:r>
        <w:rPr>
          <w:rFonts w:hint="eastAsia" w:ascii="Arial" w:hAnsi="Arial" w:eastAsia="等线" w:cs="Arial"/>
          <w:bCs/>
          <w:sz w:val="20"/>
          <w:lang w:val="en-US" w:eastAsia="zh-CN"/>
        </w:rPr>
        <w:t>_enh</w:t>
      </w:r>
    </w:p>
    <w:p w14:paraId="4A5C3C9B">
      <w:pPr>
        <w:spacing w:after="60"/>
        <w:ind w:left="1985" w:hanging="1985"/>
        <w:rPr>
          <w:rFonts w:ascii="Arial" w:hAnsi="Arial" w:eastAsia="等线" w:cs="Arial"/>
          <w:b/>
          <w:sz w:val="20"/>
        </w:rPr>
      </w:pPr>
    </w:p>
    <w:p w14:paraId="0F97377B">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14:paraId="1421EA93">
      <w:pPr>
        <w:spacing w:after="60"/>
        <w:ind w:left="1985" w:hanging="1985"/>
        <w:rPr>
          <w:rFonts w:ascii="Arial" w:hAnsi="Arial" w:eastAsia="宋体" w:cs="Arial"/>
          <w:bCs/>
          <w:sz w:val="20"/>
        </w:rPr>
      </w:pPr>
      <w:r>
        <w:rPr>
          <w:rFonts w:ascii="Arial" w:hAnsi="Arial" w:eastAsia="等线" w:cs="Arial"/>
          <w:b/>
          <w:sz w:val="20"/>
        </w:rPr>
        <w:t>To:</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WG2</w:t>
      </w:r>
    </w:p>
    <w:p w14:paraId="54CAC923">
      <w:pPr>
        <w:spacing w:after="60"/>
        <w:ind w:left="1985" w:hanging="1985"/>
        <w:rPr>
          <w:rFonts w:ascii="Arial" w:hAnsi="Arial" w:eastAsia="等线" w:cs="Arial"/>
          <w:bCs/>
          <w:sz w:val="20"/>
        </w:rPr>
      </w:pPr>
      <w:r>
        <w:rPr>
          <w:rFonts w:ascii="Arial" w:hAnsi="Arial" w:eastAsia="等线" w:cs="Arial"/>
          <w:b/>
          <w:sz w:val="20"/>
        </w:rPr>
        <w:t>Cc:</w:t>
      </w:r>
      <w:r>
        <w:rPr>
          <w:rFonts w:ascii="Arial" w:hAnsi="Arial" w:eastAsia="等线" w:cs="Arial"/>
          <w:bCs/>
          <w:sz w:val="20"/>
        </w:rPr>
        <w:tab/>
      </w:r>
    </w:p>
    <w:p w14:paraId="6B71D2AC">
      <w:pPr>
        <w:spacing w:after="60"/>
        <w:ind w:left="1985" w:hanging="1985"/>
        <w:rPr>
          <w:rFonts w:ascii="Arial" w:hAnsi="Arial" w:eastAsia="等线" w:cs="Arial"/>
          <w:bCs/>
          <w:sz w:val="20"/>
        </w:rPr>
      </w:pPr>
    </w:p>
    <w:p w14:paraId="5A5821A1">
      <w:pPr>
        <w:tabs>
          <w:tab w:val="left" w:pos="2268"/>
        </w:tabs>
        <w:rPr>
          <w:rFonts w:ascii="Arial" w:hAnsi="Arial" w:eastAsia="等线" w:cs="Arial"/>
          <w:b/>
          <w:sz w:val="20"/>
        </w:rPr>
      </w:pPr>
      <w:r>
        <w:rPr>
          <w:rFonts w:ascii="Arial" w:hAnsi="Arial" w:eastAsia="等线" w:cs="Arial"/>
          <w:b/>
          <w:sz w:val="20"/>
        </w:rPr>
        <w:t>Contact Person:</w:t>
      </w:r>
    </w:p>
    <w:p w14:paraId="7A45E92A">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14:paraId="39C39008">
      <w:pPr>
        <w:keepNext/>
        <w:tabs>
          <w:tab w:val="left" w:pos="2268"/>
          <w:tab w:val="left" w:pos="2694"/>
        </w:tabs>
        <w:ind w:left="567"/>
        <w:outlineLvl w:val="6"/>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r>
        <w:fldChar w:fldCharType="begin"/>
      </w:r>
      <w:r>
        <w:instrText xml:space="preserve"> HYPERLINK "mailto:wangshiyuan@chinamobile.com" </w:instrText>
      </w:r>
      <w:r>
        <w:fldChar w:fldCharType="separate"/>
      </w:r>
      <w:r>
        <w:rPr>
          <w:rFonts w:ascii="Arial" w:hAnsi="Arial" w:eastAsia="宋体" w:cs="Arial"/>
          <w:bCs/>
          <w:color w:val="0000FF"/>
          <w:sz w:val="20"/>
          <w:szCs w:val="20"/>
          <w:u w:val="single"/>
          <w:lang w:val="en-GB" w:eastAsia="en-US"/>
        </w:rPr>
        <w:t>wangshiyuan@chinamobile.com</w:t>
      </w:r>
      <w:r>
        <w:rPr>
          <w:rFonts w:ascii="Arial" w:hAnsi="Arial" w:eastAsia="宋体" w:cs="Arial"/>
          <w:bCs/>
          <w:color w:val="0000FF"/>
          <w:sz w:val="20"/>
          <w:szCs w:val="20"/>
          <w:u w:val="single"/>
          <w:lang w:val="en-GB" w:eastAsia="en-US"/>
        </w:rPr>
        <w:fldChar w:fldCharType="end"/>
      </w:r>
    </w:p>
    <w:p w14:paraId="4E763D22">
      <w:pPr>
        <w:tabs>
          <w:tab w:val="left" w:pos="2268"/>
        </w:tabs>
        <w:rPr>
          <w:rFonts w:ascii="Arial" w:hAnsi="Arial" w:eastAsia="等线" w:cs="Arial"/>
          <w:bCs/>
          <w:sz w:val="20"/>
        </w:rPr>
      </w:pPr>
      <w:r>
        <w:rPr>
          <w:rFonts w:ascii="Arial" w:hAnsi="Arial" w:eastAsia="等线" w:cs="Arial"/>
          <w:bCs/>
          <w:sz w:val="20"/>
        </w:rPr>
        <w:tab/>
      </w:r>
    </w:p>
    <w:p w14:paraId="13A9CF89">
      <w:pPr>
        <w:pBdr>
          <w:bottom w:val="single" w:color="auto" w:sz="4" w:space="1"/>
        </w:pBdr>
        <w:rPr>
          <w:rFonts w:ascii="Arial" w:hAnsi="Arial" w:eastAsia="等线" w:cs="Arial"/>
          <w:sz w:val="20"/>
        </w:rPr>
      </w:pPr>
    </w:p>
    <w:p w14:paraId="0F7E9973">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14:paraId="1F6EA8D8">
      <w:pPr>
        <w:rPr>
          <w:rFonts w:ascii="Arial" w:hAnsi="Arial" w:eastAsia="等线" w:cs="Arial"/>
          <w:sz w:val="20"/>
        </w:rPr>
      </w:pPr>
    </w:p>
    <w:p w14:paraId="722D7CBA">
      <w:pPr>
        <w:spacing w:after="120"/>
        <w:rPr>
          <w:rFonts w:hint="default" w:ascii="Arial" w:hAnsi="Arial" w:eastAsia="等线" w:cs="Arial"/>
          <w:sz w:val="20"/>
          <w:lang w:val="en-US" w:eastAsia="zh-CN"/>
        </w:rPr>
      </w:pPr>
      <w:r>
        <w:rPr>
          <w:rFonts w:ascii="Arial" w:hAnsi="Arial" w:eastAsia="等线" w:cs="Arial"/>
          <w:b/>
          <w:sz w:val="20"/>
        </w:rPr>
        <w:t>1. Overall Description:</w:t>
      </w:r>
    </w:p>
    <w:p w14:paraId="785AEFC2">
      <w:pPr>
        <w:spacing w:after="312" w:afterLines="100"/>
        <w:jc w:val="both"/>
        <w:rPr>
          <w:rFonts w:hint="default" w:ascii="Arial" w:hAnsi="Arial" w:eastAsia="等线" w:cs="Arial"/>
          <w:sz w:val="20"/>
          <w:lang w:val="en-US" w:eastAsia="zh-CN"/>
        </w:rPr>
      </w:pPr>
      <w:r>
        <w:rPr>
          <w:rFonts w:hint="eastAsia" w:ascii="Arial" w:hAnsi="Arial" w:eastAsia="等线" w:cs="Arial"/>
          <w:sz w:val="20"/>
          <w:lang w:val="en-US" w:eastAsia="zh-CN"/>
        </w:rPr>
        <w:t xml:space="preserve">Currently, when network configures a </w:t>
      </w:r>
      <w:r>
        <w:rPr>
          <w:rFonts w:hint="eastAsia" w:ascii="Arial" w:hAnsi="Arial" w:eastAsia="等线" w:cs="Arial"/>
          <w:i/>
          <w:iCs/>
          <w:sz w:val="20"/>
          <w:lang w:val="en-US" w:eastAsia="zh-CN"/>
        </w:rPr>
        <w:t>servingCellMO</w:t>
      </w:r>
      <w:r>
        <w:rPr>
          <w:rFonts w:hint="eastAsia" w:ascii="Arial" w:hAnsi="Arial" w:eastAsia="等线" w:cs="Arial"/>
          <w:sz w:val="20"/>
          <w:lang w:val="en-US" w:eastAsia="zh-CN"/>
        </w:rPr>
        <w:t>, UE is required to measure both serving and neighbour cells on this MO. In ATG network, for UE supporting antennaArrayType-r18, when UE measure the neighbour cell, the serving cell scheduling restriction shall be applied due to different Rx beam direction between serving cell and neighbour cell, which will cause throughput loss. To further enhance the throughout performance, in ATG CA case,</w:t>
      </w:r>
      <w:bookmarkStart w:id="3" w:name="_GoBack"/>
      <w:bookmarkEnd w:id="3"/>
      <w:r>
        <w:rPr>
          <w:rFonts w:hint="eastAsia" w:ascii="Arial" w:hAnsi="Arial" w:eastAsia="等线" w:cs="Arial"/>
          <w:sz w:val="20"/>
          <w:lang w:val="en-US" w:eastAsia="zh-CN"/>
        </w:rPr>
        <w:t xml:space="preserve"> RAN4 agreed to introduce a network signaling to indicate that the UE is not required to measure the neighbour cell on the configured </w:t>
      </w:r>
      <w:r>
        <w:rPr>
          <w:rFonts w:hint="eastAsia" w:ascii="Arial" w:hAnsi="Arial" w:eastAsia="等线" w:cs="Arial"/>
          <w:i/>
          <w:iCs/>
          <w:sz w:val="20"/>
          <w:lang w:val="en-US" w:eastAsia="zh-CN"/>
        </w:rPr>
        <w:t>servingcellMO</w:t>
      </w:r>
      <w:r>
        <w:rPr>
          <w:rFonts w:hint="eastAsia" w:ascii="Arial" w:hAnsi="Arial" w:eastAsia="等线" w:cs="Arial"/>
          <w:sz w:val="20"/>
          <w:lang w:val="en-US" w:eastAsia="zh-CN"/>
        </w:rPr>
        <w:t xml:space="preserve"> for SCC, i.e. UE only required to measure the serving cell (including SCell and deactivated SCell) on the configured </w:t>
      </w:r>
      <w:r>
        <w:rPr>
          <w:rFonts w:hint="eastAsia" w:ascii="Arial" w:hAnsi="Arial" w:eastAsia="等线" w:cs="Arial"/>
          <w:i/>
          <w:iCs/>
          <w:sz w:val="20"/>
          <w:lang w:val="en-US" w:eastAsia="zh-CN"/>
        </w:rPr>
        <w:t>servingCellMO</w:t>
      </w:r>
      <w:r>
        <w:rPr>
          <w:rFonts w:hint="eastAsia" w:ascii="Arial" w:hAnsi="Arial" w:eastAsia="等线" w:cs="Arial"/>
          <w:sz w:val="20"/>
          <w:lang w:val="en-US" w:eastAsia="zh-CN"/>
        </w:rPr>
        <w:t xml:space="preserve"> for SCC.</w:t>
      </w:r>
    </w:p>
    <w:p w14:paraId="00517B10">
      <w:pPr>
        <w:autoSpaceDE w:val="0"/>
        <w:autoSpaceDN w:val="0"/>
        <w:snapToGrid w:val="0"/>
        <w:spacing w:after="312" w:afterLines="100"/>
        <w:contextualSpacing/>
        <w:jc w:val="both"/>
        <w:rPr>
          <w:rFonts w:eastAsia="等线" w:cs="Courier New"/>
          <w:sz w:val="20"/>
        </w:rPr>
      </w:pPr>
    </w:p>
    <w:p w14:paraId="5A6A57F0">
      <w:pPr>
        <w:tabs>
          <w:tab w:val="left" w:pos="1134"/>
        </w:tabs>
        <w:spacing w:before="156" w:beforeLines="50" w:after="180"/>
        <w:jc w:val="both"/>
        <w:rPr>
          <w:rFonts w:ascii="Arial" w:hAnsi="Arial" w:eastAsia="等线" w:cs="Arial"/>
          <w:iCs/>
          <w:sz w:val="20"/>
        </w:rPr>
      </w:pPr>
      <w:r>
        <w:rPr>
          <w:rFonts w:hint="eastAsia" w:ascii="Arial" w:hAnsi="Arial" w:eastAsia="等线" w:cs="Arial"/>
          <w:b/>
          <w:bCs/>
          <w:iCs/>
          <w:sz w:val="20"/>
        </w:rPr>
        <w:t>[</w:t>
      </w:r>
      <w:r>
        <w:rPr>
          <w:rFonts w:ascii="Arial" w:hAnsi="Arial" w:eastAsia="等线" w:cs="Arial"/>
          <w:b/>
          <w:bCs/>
          <w:iCs/>
          <w:sz w:val="20"/>
        </w:rPr>
        <w:t>RAN4]</w:t>
      </w:r>
      <w:r>
        <w:rPr>
          <w:rFonts w:ascii="Arial" w:hAnsi="Arial" w:eastAsia="等线" w:cs="Arial"/>
          <w:iCs/>
          <w:sz w:val="20"/>
        </w:rPr>
        <w:t xml:space="preserve"> </w:t>
      </w:r>
    </w:p>
    <w:p w14:paraId="0E070789">
      <w:pPr>
        <w:tabs>
          <w:tab w:val="left" w:pos="1134"/>
        </w:tabs>
        <w:spacing w:before="156" w:beforeLines="50" w:after="180"/>
        <w:jc w:val="both"/>
        <w:rPr>
          <w:rFonts w:hint="default" w:ascii="Arial" w:hAnsi="Arial" w:eastAsia="等线" w:cs="Arial"/>
          <w:sz w:val="20"/>
          <w:lang w:val="en-US" w:eastAsia="zh-CN"/>
        </w:rPr>
      </w:pPr>
      <w:r>
        <w:rPr>
          <w:rFonts w:hint="eastAsia" w:ascii="Arial" w:hAnsi="Arial" w:eastAsia="等线" w:cs="Arial"/>
          <w:sz w:val="20"/>
          <w:lang w:val="en-US" w:eastAsia="zh-CN"/>
        </w:rPr>
        <w:t xml:space="preserve">A network signaling shall be introduced, to indicate that the UE is not required to measure the neighbour cell on the configured </w:t>
      </w:r>
      <w:r>
        <w:rPr>
          <w:rFonts w:hint="eastAsia" w:ascii="Arial" w:hAnsi="Arial" w:eastAsia="等线" w:cs="Arial"/>
          <w:i/>
          <w:iCs/>
          <w:sz w:val="20"/>
          <w:lang w:val="en-US" w:eastAsia="zh-CN"/>
        </w:rPr>
        <w:t>servingcellMO</w:t>
      </w:r>
      <w:r>
        <w:rPr>
          <w:rFonts w:hint="eastAsia" w:ascii="Arial" w:hAnsi="Arial" w:eastAsia="等线" w:cs="Arial"/>
          <w:sz w:val="20"/>
          <w:lang w:val="en-US" w:eastAsia="zh-CN"/>
        </w:rPr>
        <w:t xml:space="preserve"> for SCC, i.e. UE only required to measure the serving cell (including SCell and deactivated SCell) on the configured </w:t>
      </w:r>
      <w:r>
        <w:rPr>
          <w:rFonts w:hint="eastAsia" w:ascii="Arial" w:hAnsi="Arial" w:eastAsia="等线" w:cs="Arial"/>
          <w:i/>
          <w:iCs/>
          <w:sz w:val="20"/>
          <w:lang w:val="en-US" w:eastAsia="zh-CN"/>
        </w:rPr>
        <w:t>servingCellMO</w:t>
      </w:r>
      <w:r>
        <w:rPr>
          <w:rFonts w:hint="eastAsia" w:ascii="Arial" w:hAnsi="Arial" w:eastAsia="等线" w:cs="Arial"/>
          <w:sz w:val="20"/>
          <w:lang w:val="en-US" w:eastAsia="zh-CN"/>
        </w:rPr>
        <w:t xml:space="preserve"> for SCC.</w:t>
      </w:r>
    </w:p>
    <w:p w14:paraId="78C66B88">
      <w:pPr>
        <w:tabs>
          <w:tab w:val="left" w:pos="1134"/>
        </w:tabs>
        <w:spacing w:before="156" w:beforeLines="50" w:after="180"/>
        <w:jc w:val="both"/>
        <w:rPr>
          <w:rFonts w:ascii="Arial" w:hAnsi="Arial" w:eastAsia="等线" w:cs="Arial"/>
          <w:iCs/>
          <w:sz w:val="20"/>
        </w:rPr>
      </w:pPr>
    </w:p>
    <w:p w14:paraId="7FFF938A">
      <w:pPr>
        <w:spacing w:after="120"/>
        <w:jc w:val="both"/>
        <w:rPr>
          <w:rFonts w:ascii="Arial" w:hAnsi="Arial" w:eastAsia="等线" w:cs="Arial"/>
          <w:b/>
          <w:sz w:val="20"/>
        </w:rPr>
      </w:pPr>
      <w:r>
        <w:rPr>
          <w:rFonts w:ascii="Arial" w:hAnsi="Arial" w:eastAsia="等线" w:cs="Arial"/>
          <w:b/>
          <w:sz w:val="20"/>
        </w:rPr>
        <w:t>2. Actions:</w:t>
      </w:r>
    </w:p>
    <w:p w14:paraId="41DF2240">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14:paraId="37B50474">
      <w:pPr>
        <w:spacing w:after="120"/>
        <w:ind w:left="993" w:hanging="993"/>
        <w:jc w:val="both"/>
        <w:rPr>
          <w:rFonts w:hint="default" w:ascii="Arial" w:hAnsi="Arial" w:eastAsia="等线" w:cs="Arial"/>
          <w:bCs/>
          <w:color w:val="000000"/>
          <w:sz w:val="20"/>
          <w:lang w:val="en-US" w:eastAsia="zh-CN"/>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rPr>
        <w:t xml:space="preserve">kindly </w:t>
      </w:r>
      <w:r>
        <w:rPr>
          <w:rFonts w:ascii="Arial" w:hAnsi="Arial" w:eastAsia="等线" w:cs="Arial"/>
          <w:bCs/>
          <w:color w:val="000000"/>
          <w:sz w:val="20"/>
        </w:rPr>
        <w:t>requests RAN</w:t>
      </w:r>
      <w:r>
        <w:rPr>
          <w:rFonts w:hint="eastAsia" w:ascii="Arial" w:hAnsi="Arial" w:eastAsia="等线" w:cs="Arial"/>
          <w:bCs/>
          <w:color w:val="000000"/>
          <w:sz w:val="20"/>
        </w:rPr>
        <w:t>2</w:t>
      </w:r>
      <w:r>
        <w:rPr>
          <w:rFonts w:ascii="Arial" w:hAnsi="Arial" w:eastAsia="等线" w:cs="Arial"/>
          <w:bCs/>
          <w:color w:val="000000"/>
          <w:sz w:val="20"/>
        </w:rPr>
        <w:t xml:space="preserve"> to </w:t>
      </w:r>
      <w:r>
        <w:rPr>
          <w:rFonts w:hint="eastAsia" w:ascii="Arial" w:hAnsi="Arial" w:eastAsia="等线" w:cs="Arial"/>
          <w:bCs/>
          <w:color w:val="000000"/>
          <w:sz w:val="20"/>
          <w:lang w:val="en-US" w:eastAsia="zh-CN"/>
        </w:rPr>
        <w:t>s</w:t>
      </w:r>
      <w:r>
        <w:rPr>
          <w:rFonts w:hint="eastAsia" w:ascii="Arial" w:hAnsi="Arial" w:eastAsia="等线" w:cs="Arial"/>
          <w:bCs/>
          <w:color w:val="000000"/>
          <w:sz w:val="20"/>
        </w:rPr>
        <w:t xml:space="preserve">pecify </w:t>
      </w:r>
      <w:r>
        <w:rPr>
          <w:rFonts w:hint="eastAsia" w:ascii="Arial" w:hAnsi="Arial" w:eastAsia="等线" w:cs="Arial"/>
          <w:bCs/>
          <w:color w:val="000000"/>
          <w:sz w:val="20"/>
          <w:lang w:val="en-US" w:eastAsia="zh-CN"/>
        </w:rPr>
        <w:t xml:space="preserve">the network </w:t>
      </w:r>
      <w:r>
        <w:rPr>
          <w:rFonts w:hint="eastAsia" w:ascii="Arial" w:hAnsi="Arial" w:eastAsia="等线" w:cs="Arial"/>
          <w:bCs/>
          <w:color w:val="000000"/>
          <w:sz w:val="20"/>
        </w:rPr>
        <w:t>signaling</w:t>
      </w:r>
      <w:r>
        <w:rPr>
          <w:rFonts w:hint="eastAsia" w:ascii="Arial" w:hAnsi="Arial" w:eastAsia="等线" w:cs="Arial"/>
          <w:bCs/>
          <w:color w:val="000000"/>
          <w:sz w:val="20"/>
          <w:lang w:val="en-US" w:eastAsia="zh-CN"/>
        </w:rPr>
        <w:t xml:space="preserve"> with taking the above information into consideration.</w:t>
      </w:r>
    </w:p>
    <w:p w14:paraId="0E63264B">
      <w:pPr>
        <w:spacing w:after="120"/>
        <w:ind w:left="993" w:hanging="993"/>
        <w:jc w:val="both"/>
        <w:rPr>
          <w:rFonts w:ascii="Arial" w:hAnsi="Arial" w:eastAsia="等线" w:cs="Arial"/>
          <w:sz w:val="20"/>
        </w:rPr>
      </w:pPr>
    </w:p>
    <w:p w14:paraId="6CB38CBB">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14:paraId="3F3EEDA2">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w:t>
      </w:r>
      <w:r>
        <w:rPr>
          <w:rFonts w:hint="eastAsia" w:ascii="Arial" w:hAnsi="Arial" w:eastAsia="宋体" w:cs="Arial"/>
          <w:bCs/>
          <w:sz w:val="20"/>
          <w:szCs w:val="20"/>
          <w:lang w:val="en-US" w:eastAsia="zh-CN"/>
        </w:rPr>
        <w:t>6</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US" w:eastAsia="zh-CN"/>
        </w:rPr>
        <w:t>25</w:t>
      </w:r>
      <w:r>
        <w:rPr>
          <w:rFonts w:hint="eastAsia"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Aug</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US" w:eastAsia="zh-CN"/>
        </w:rPr>
        <w:t>29</w:t>
      </w:r>
      <w:r>
        <w:rPr>
          <w:rFonts w:hint="eastAsia"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Aug</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5</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India (TBC) , IN</w:t>
      </w:r>
    </w:p>
    <w:p w14:paraId="3B64AD0A">
      <w:pPr>
        <w:tabs>
          <w:tab w:val="left" w:pos="4430"/>
        </w:tabs>
        <w:ind w:left="2268" w:hanging="2268"/>
        <w:rPr>
          <w:sz w:val="20"/>
          <w:szCs w:val="20"/>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w:t>
      </w:r>
      <w:r>
        <w:rPr>
          <w:rFonts w:hint="eastAsia" w:ascii="Arial" w:hAnsi="Arial" w:eastAsia="宋体" w:cs="Arial"/>
          <w:bCs/>
          <w:sz w:val="20"/>
          <w:szCs w:val="20"/>
          <w:lang w:val="en-US" w:eastAsia="zh-CN"/>
        </w:rPr>
        <w:t>6</w:t>
      </w:r>
      <w:r>
        <w:rPr>
          <w:rFonts w:ascii="Arial" w:hAnsi="Arial" w:eastAsia="宋体" w:cs="Arial"/>
          <w:bCs/>
          <w:sz w:val="20"/>
          <w:szCs w:val="20"/>
          <w:lang w:val="en-GB" w:eastAsia="en-US"/>
        </w:rPr>
        <w:t xml:space="preserve">-bis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1</w:t>
      </w:r>
      <w:r>
        <w:rPr>
          <w:rFonts w:hint="eastAsia" w:ascii="Arial" w:hAnsi="Arial" w:eastAsia="宋体" w:cs="Arial"/>
          <w:bCs/>
          <w:sz w:val="20"/>
          <w:szCs w:val="20"/>
          <w:lang w:val="en-US" w:eastAsia="zh-CN"/>
        </w:rPr>
        <w:t>3</w:t>
      </w:r>
      <w:r>
        <w:rPr>
          <w:rFonts w:hint="eastAsia"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Oct</w:t>
      </w:r>
      <w:r>
        <w:rPr>
          <w:rFonts w:hint="eastAsia" w:ascii="Arial" w:hAnsi="Arial" w:eastAsia="宋体" w:cs="Arial"/>
          <w:bCs/>
          <w:sz w:val="20"/>
          <w:szCs w:val="20"/>
          <w:lang w:val="en-GB" w:eastAsia="en-US"/>
        </w:rPr>
        <w:t xml:space="preserve"> </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1</w:t>
      </w:r>
      <w:r>
        <w:rPr>
          <w:rFonts w:hint="eastAsia" w:ascii="Arial" w:hAnsi="Arial" w:eastAsia="宋体" w:cs="Arial"/>
          <w:bCs/>
          <w:sz w:val="20"/>
          <w:szCs w:val="20"/>
          <w:lang w:val="en-US" w:eastAsia="zh-CN"/>
        </w:rPr>
        <w:t>7</w:t>
      </w:r>
      <w:r>
        <w:rPr>
          <w:rFonts w:hint="eastAsia"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 xml:space="preserve">Oct </w:t>
      </w:r>
      <w:r>
        <w:rPr>
          <w:rFonts w:ascii="Arial" w:hAnsi="Arial" w:eastAsia="宋体" w:cs="Arial"/>
          <w:bCs/>
          <w:sz w:val="20"/>
          <w:szCs w:val="20"/>
          <w:lang w:val="en-GB" w:eastAsia="en-US"/>
        </w:rPr>
        <w:t>202</w:t>
      </w:r>
      <w:r>
        <w:rPr>
          <w:rFonts w:hint="eastAsia" w:ascii="Arial" w:hAnsi="Arial" w:eastAsia="宋体" w:cs="Arial"/>
          <w:bCs/>
          <w:sz w:val="20"/>
          <w:szCs w:val="20"/>
          <w:lang w:val="en-US" w:eastAsia="zh-CN"/>
        </w:rPr>
        <w:t>5</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bookmarkEnd w:id="2"/>
      <w:r>
        <w:rPr>
          <w:rFonts w:hint="eastAsia" w:ascii="Arial" w:hAnsi="Arial" w:eastAsia="宋体" w:cs="Arial"/>
          <w:bCs/>
          <w:sz w:val="20"/>
          <w:szCs w:val="20"/>
          <w:lang w:val="en-GB" w:eastAsia="en-US"/>
        </w:rPr>
        <w:t>Prague , CZ</w:t>
      </w:r>
    </w:p>
    <w:sectPr>
      <w:pgSz w:w="11906" w:h="16838"/>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81E"/>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3020"/>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CD00CC"/>
    <w:rsid w:val="16FC5C69"/>
    <w:rsid w:val="186D4AB4"/>
    <w:rsid w:val="19967BF0"/>
    <w:rsid w:val="19CE5937"/>
    <w:rsid w:val="1A054BBC"/>
    <w:rsid w:val="1A974518"/>
    <w:rsid w:val="1A9A08B1"/>
    <w:rsid w:val="1AB40B3E"/>
    <w:rsid w:val="1B6A400B"/>
    <w:rsid w:val="1B6B12F4"/>
    <w:rsid w:val="1BC67426"/>
    <w:rsid w:val="1CF1514F"/>
    <w:rsid w:val="1D6F7320"/>
    <w:rsid w:val="1DB22149"/>
    <w:rsid w:val="1F4D6252"/>
    <w:rsid w:val="21C1128B"/>
    <w:rsid w:val="25171174"/>
    <w:rsid w:val="25871FAC"/>
    <w:rsid w:val="27042AED"/>
    <w:rsid w:val="27612D3D"/>
    <w:rsid w:val="27BD27E3"/>
    <w:rsid w:val="28E25D56"/>
    <w:rsid w:val="2918438E"/>
    <w:rsid w:val="293C3677"/>
    <w:rsid w:val="2A745211"/>
    <w:rsid w:val="2B260516"/>
    <w:rsid w:val="2B712B46"/>
    <w:rsid w:val="2C7437AB"/>
    <w:rsid w:val="2D7D5B52"/>
    <w:rsid w:val="2DC86E21"/>
    <w:rsid w:val="2EA74C62"/>
    <w:rsid w:val="2F840DB4"/>
    <w:rsid w:val="2FAB2470"/>
    <w:rsid w:val="303502FD"/>
    <w:rsid w:val="314D0FF3"/>
    <w:rsid w:val="327542BD"/>
    <w:rsid w:val="32BA7818"/>
    <w:rsid w:val="342405CD"/>
    <w:rsid w:val="3756054C"/>
    <w:rsid w:val="37C270BE"/>
    <w:rsid w:val="3CFE6CB8"/>
    <w:rsid w:val="3D5C7BBB"/>
    <w:rsid w:val="42313EE1"/>
    <w:rsid w:val="42764173"/>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C3B5B36"/>
    <w:rsid w:val="5C7100A9"/>
    <w:rsid w:val="5E955CAE"/>
    <w:rsid w:val="5F6D60BB"/>
    <w:rsid w:val="5FBE43C5"/>
    <w:rsid w:val="61294965"/>
    <w:rsid w:val="62A93F67"/>
    <w:rsid w:val="62AD511A"/>
    <w:rsid w:val="642D103F"/>
    <w:rsid w:val="64EB7873"/>
    <w:rsid w:val="65AC69E5"/>
    <w:rsid w:val="65AE50E3"/>
    <w:rsid w:val="662D4818"/>
    <w:rsid w:val="668A66E7"/>
    <w:rsid w:val="670A6572"/>
    <w:rsid w:val="68394942"/>
    <w:rsid w:val="68DB7A9A"/>
    <w:rsid w:val="68E056B2"/>
    <w:rsid w:val="69F7752A"/>
    <w:rsid w:val="69FC7CF7"/>
    <w:rsid w:val="6AD25FA2"/>
    <w:rsid w:val="6B131038"/>
    <w:rsid w:val="6B3D5AF2"/>
    <w:rsid w:val="6C017A25"/>
    <w:rsid w:val="6C8C6FBE"/>
    <w:rsid w:val="6D017DB9"/>
    <w:rsid w:val="6EFC7766"/>
    <w:rsid w:val="717C5965"/>
    <w:rsid w:val="719826B5"/>
    <w:rsid w:val="72A7775E"/>
    <w:rsid w:val="7308268F"/>
    <w:rsid w:val="7322392E"/>
    <w:rsid w:val="73376795"/>
    <w:rsid w:val="734316AE"/>
    <w:rsid w:val="74611512"/>
    <w:rsid w:val="76D318BB"/>
    <w:rsid w:val="77231C5D"/>
    <w:rsid w:val="7A5175D2"/>
    <w:rsid w:val="7B862537"/>
    <w:rsid w:val="7BE47829"/>
    <w:rsid w:val="7D445B9B"/>
    <w:rsid w:val="7DCB0C53"/>
    <w:rsid w:val="7E531A41"/>
    <w:rsid w:val="7E735659"/>
    <w:rsid w:val="7E9666A4"/>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Header Char"/>
    <w:link w:val="15"/>
    <w:qFormat/>
    <w:uiPriority w:val="99"/>
    <w:rPr>
      <w:rFonts w:ascii="Times New Roman" w:hAnsi="Times New Roman" w:eastAsia="Courier New" w:cs="Times New Roman"/>
      <w:kern w:val="0"/>
      <w:sz w:val="20"/>
      <w:szCs w:val="20"/>
      <w:lang w:eastAsia="en-US"/>
    </w:rPr>
  </w:style>
  <w:style w:type="character" w:customStyle="1" w:styleId="25">
    <w:name w:val="Heading 1 Char"/>
    <w:link w:val="2"/>
    <w:qFormat/>
    <w:uiPriority w:val="0"/>
    <w:rPr>
      <w:rFonts w:ascii="Arial" w:hAnsi="Arial"/>
      <w:b/>
      <w:bCs/>
      <w:kern w:val="44"/>
      <w:sz w:val="44"/>
      <w:szCs w:val="44"/>
    </w:rPr>
  </w:style>
  <w:style w:type="character" w:customStyle="1" w:styleId="26">
    <w:name w:val="Document Map Char"/>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Heading 2 Char"/>
    <w:link w:val="3"/>
    <w:qFormat/>
    <w:uiPriority w:val="0"/>
    <w:rPr>
      <w:rFonts w:ascii="Courier New" w:hAnsi="Courier New" w:eastAsia="Courier New" w:cs="Times New Roman"/>
      <w:kern w:val="0"/>
      <w:sz w:val="32"/>
      <w:szCs w:val="20"/>
      <w:lang w:val="en-GB" w:eastAsia="en-US"/>
    </w:rPr>
  </w:style>
  <w:style w:type="character" w:customStyle="1" w:styleId="37">
    <w:name w:val="Heading 3 Char"/>
    <w:link w:val="4"/>
    <w:qFormat/>
    <w:uiPriority w:val="0"/>
    <w:rPr>
      <w:rFonts w:ascii="Courier New" w:hAnsi="Courier New" w:eastAsia="Courier New" w:cs="Times New Roman"/>
      <w:kern w:val="0"/>
      <w:sz w:val="28"/>
      <w:szCs w:val="20"/>
      <w:lang w:val="en-GB" w:eastAsia="en-US"/>
    </w:rPr>
  </w:style>
  <w:style w:type="character" w:customStyle="1" w:styleId="38">
    <w:name w:val="Heading 4 Char"/>
    <w:link w:val="5"/>
    <w:qFormat/>
    <w:uiPriority w:val="0"/>
    <w:rPr>
      <w:rFonts w:ascii="Courier New" w:hAnsi="Courier New" w:eastAsia="Courier New" w:cs="Times New Roman"/>
      <w:kern w:val="0"/>
      <w:szCs w:val="20"/>
      <w:lang w:val="en-GB" w:eastAsia="en-US"/>
    </w:rPr>
  </w:style>
  <w:style w:type="character" w:customStyle="1" w:styleId="39">
    <w:name w:val="Heading 5 Char"/>
    <w:link w:val="6"/>
    <w:qFormat/>
    <w:uiPriority w:val="0"/>
    <w:rPr>
      <w:rFonts w:ascii="Courier New" w:hAnsi="Courier New" w:eastAsia="Courier New" w:cs="Times New Roman"/>
      <w:kern w:val="0"/>
      <w:sz w:val="22"/>
      <w:szCs w:val="20"/>
      <w:lang w:val="en-GB" w:eastAsia="en-US"/>
    </w:rPr>
  </w:style>
  <w:style w:type="character" w:customStyle="1" w:styleId="40">
    <w:name w:val="Heading 7 Char"/>
    <w:link w:val="7"/>
    <w:qFormat/>
    <w:uiPriority w:val="0"/>
    <w:rPr>
      <w:rFonts w:ascii="Courier New" w:hAnsi="Courier New" w:eastAsia="Courier New" w:cs="Times New Roman"/>
      <w:kern w:val="0"/>
      <w:sz w:val="20"/>
      <w:szCs w:val="20"/>
      <w:lang w:val="en-GB" w:eastAsia="en-US"/>
    </w:rPr>
  </w:style>
  <w:style w:type="character" w:customStyle="1" w:styleId="41">
    <w:name w:val="Heading 8 Char"/>
    <w:link w:val="8"/>
    <w:qFormat/>
    <w:uiPriority w:val="0"/>
    <w:rPr>
      <w:rFonts w:ascii="Courier New" w:hAnsi="Courier New" w:eastAsia="Courier New" w:cs="Times New Roman"/>
      <w:kern w:val="0"/>
      <w:sz w:val="36"/>
      <w:szCs w:val="20"/>
      <w:lang w:val="en-GB" w:eastAsia="en-US"/>
    </w:rPr>
  </w:style>
  <w:style w:type="character" w:customStyle="1" w:styleId="42">
    <w:name w:val="Heading 9 Char"/>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Caption Char"/>
    <w:link w:val="10"/>
    <w:qFormat/>
    <w:uiPriority w:val="0"/>
    <w:rPr>
      <w:rFonts w:ascii="Courier New" w:hAnsi="Courier New"/>
      <w:b/>
      <w:kern w:val="20"/>
      <w:sz w:val="16"/>
      <w:lang w:eastAsia="en-US" w:bidi="ar-SA"/>
    </w:rPr>
  </w:style>
  <w:style w:type="character" w:customStyle="1" w:styleId="46">
    <w:name w:val="Balloon Text Char"/>
    <w:link w:val="13"/>
    <w:semiHidden/>
    <w:qFormat/>
    <w:uiPriority w:val="99"/>
    <w:rPr>
      <w:rFonts w:ascii="Cambria Math" w:eastAsia="Cambria Math"/>
      <w:sz w:val="18"/>
      <w:szCs w:val="18"/>
    </w:rPr>
  </w:style>
  <w:style w:type="character" w:customStyle="1" w:styleId="47">
    <w:name w:val="Footer Char"/>
    <w:link w:val="14"/>
    <w:qFormat/>
    <w:uiPriority w:val="99"/>
    <w:rPr>
      <w:sz w:val="18"/>
      <w:szCs w:val="18"/>
    </w:rPr>
  </w:style>
  <w:style w:type="character" w:customStyle="1" w:styleId="48">
    <w:name w:val="Comment Text Char"/>
    <w:basedOn w:val="21"/>
    <w:link w:val="12"/>
    <w:qFormat/>
    <w:uiPriority w:val="0"/>
  </w:style>
  <w:style w:type="character" w:customStyle="1" w:styleId="49">
    <w:name w:val="Comment Subject Char"/>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List Paragraph Char"/>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Revision"/>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770</Words>
  <Characters>4390</Characters>
  <Lines>36</Lines>
  <Paragraphs>10</Paragraphs>
  <TotalTime>8</TotalTime>
  <ScaleCrop>false</ScaleCrop>
  <LinksUpToDate>false</LinksUpToDate>
  <CharactersWithSpaces>5150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2025-05-09T07:02:39Z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DC78AAF179E44A93AF09C17796072AF0</vt:lpwstr>
  </property>
</Properties>
</file>